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F9" w:rsidRPr="00CA7DE0" w:rsidRDefault="00184DF9" w:rsidP="00544B57">
      <w:pPr>
        <w:rPr>
          <w:rFonts w:ascii="Cambria Math" w:hAnsi="Cambria Math"/>
          <w:szCs w:val="24"/>
        </w:rPr>
      </w:pPr>
      <w:r w:rsidRPr="00CA7DE0">
        <w:rPr>
          <w:rFonts w:ascii="Cambria Math" w:hAnsi="Cambria Math"/>
          <w:szCs w:val="24"/>
        </w:rPr>
        <w:t>Course Objective:</w:t>
      </w:r>
    </w:p>
    <w:p w:rsidR="00544B57" w:rsidRPr="00CA7DE0" w:rsidRDefault="00544B57" w:rsidP="00544B57">
      <w:pPr>
        <w:rPr>
          <w:rFonts w:ascii="Cambria Math" w:hAnsi="Cambria Math"/>
          <w:szCs w:val="24"/>
        </w:rPr>
      </w:pPr>
      <w:r w:rsidRPr="00CA7DE0">
        <w:rPr>
          <w:rFonts w:ascii="Cambria Math" w:hAnsi="Cambria Math"/>
          <w:szCs w:val="24"/>
        </w:rPr>
        <w:t xml:space="preserve">A firm foundation in algebra and trigonometry is necessary for success in </w:t>
      </w:r>
      <w:proofErr w:type="gramStart"/>
      <w:r w:rsidRPr="00CA7DE0">
        <w:rPr>
          <w:rFonts w:ascii="Cambria Math" w:hAnsi="Cambria Math"/>
          <w:szCs w:val="24"/>
        </w:rPr>
        <w:t>college level mathematics courses</w:t>
      </w:r>
      <w:proofErr w:type="gramEnd"/>
      <w:r w:rsidRPr="00CA7DE0">
        <w:rPr>
          <w:rFonts w:ascii="Cambria Math" w:hAnsi="Cambria Math"/>
          <w:szCs w:val="24"/>
        </w:rPr>
        <w:t xml:space="preserve">. This course is an extension of Algebra 2 and </w:t>
      </w:r>
      <w:proofErr w:type="gramStart"/>
      <w:r w:rsidRPr="00CA7DE0">
        <w:rPr>
          <w:rFonts w:ascii="Cambria Math" w:hAnsi="Cambria Math"/>
          <w:szCs w:val="24"/>
        </w:rPr>
        <w:t>is designed</w:t>
      </w:r>
      <w:proofErr w:type="gramEnd"/>
      <w:r w:rsidRPr="00CA7DE0">
        <w:rPr>
          <w:rFonts w:ascii="Cambria Math" w:hAnsi="Cambria Math"/>
          <w:szCs w:val="24"/>
        </w:rPr>
        <w:t xml:space="preserve"> for college bound students who will not be choosing a major emphasizing math or science. </w:t>
      </w:r>
    </w:p>
    <w:p w:rsidR="00867175" w:rsidRPr="00CA7DE0" w:rsidRDefault="00544B57" w:rsidP="00544B57">
      <w:pPr>
        <w:rPr>
          <w:rFonts w:ascii="Cambria Math" w:hAnsi="Cambria Math"/>
          <w:szCs w:val="24"/>
        </w:rPr>
      </w:pPr>
      <w:r w:rsidRPr="00CA7DE0">
        <w:rPr>
          <w:rFonts w:ascii="Cambria Math" w:hAnsi="Cambria Math"/>
          <w:szCs w:val="24"/>
        </w:rPr>
        <w:t xml:space="preserve">This is a Dual Credit class, which means that students passing this class will receive credit both for Incarnate Word Academy and for UMSL. College credits earned through the ACP </w:t>
      </w:r>
      <w:proofErr w:type="gramStart"/>
      <w:r w:rsidRPr="00CA7DE0">
        <w:rPr>
          <w:rFonts w:ascii="Cambria Math" w:hAnsi="Cambria Math"/>
          <w:szCs w:val="24"/>
        </w:rPr>
        <w:t>are accepted</w:t>
      </w:r>
      <w:proofErr w:type="gramEnd"/>
      <w:r w:rsidRPr="00CA7DE0">
        <w:rPr>
          <w:rFonts w:ascii="Cambria Math" w:hAnsi="Cambria Math"/>
          <w:szCs w:val="24"/>
        </w:rPr>
        <w:t xml:space="preserve"> at all of Missouri's public colleges and universities and many other institutions across the country.  For UMSL purposes, it is a three-hour class listed in the class catalogue as MATH 1030 - College Algebra. Topics include linear, quadratic, and rational equations and inequalities, the algebra of functions (including polynomial, rational, exponential, and logarithmic functions), the graphs of some of these functions, and systems of equations. Additional topics may include trigonometry and analytical geometry. </w:t>
      </w:r>
    </w:p>
    <w:p w:rsidR="00C90231" w:rsidRPr="00CA7DE0" w:rsidRDefault="00C90231" w:rsidP="00544B57">
      <w:pPr>
        <w:rPr>
          <w:rFonts w:ascii="Cambria Math" w:hAnsi="Cambria Math" w:cs="Tahoma"/>
          <w:color w:val="000000"/>
          <w:szCs w:val="24"/>
          <w:shd w:val="clear" w:color="auto" w:fill="FFFFFF"/>
        </w:rPr>
      </w:pPr>
    </w:p>
    <w:p w:rsidR="00C90231" w:rsidRPr="00CA7DE0" w:rsidRDefault="00C90231" w:rsidP="00544B57">
      <w:pPr>
        <w:rPr>
          <w:rFonts w:ascii="Cambria Math" w:hAnsi="Cambria Math"/>
          <w:szCs w:val="24"/>
        </w:rPr>
      </w:pPr>
      <w:r w:rsidRPr="00CA7DE0">
        <w:rPr>
          <w:rFonts w:ascii="Cambria Math" w:hAnsi="Cambria Math"/>
          <w:szCs w:val="24"/>
        </w:rPr>
        <w:t>UMSL Course Description</w:t>
      </w:r>
    </w:p>
    <w:p w:rsidR="00C90231" w:rsidRPr="00CA7DE0" w:rsidRDefault="00C90231" w:rsidP="00544B57">
      <w:pPr>
        <w:rPr>
          <w:rFonts w:ascii="Cambria Math" w:hAnsi="Cambria Math"/>
          <w:szCs w:val="24"/>
        </w:rPr>
      </w:pPr>
      <w:r w:rsidRPr="00CA7DE0">
        <w:rPr>
          <w:rFonts w:ascii="Cambria Math" w:hAnsi="Cambria Math"/>
          <w:szCs w:val="24"/>
        </w:rPr>
        <w:t>Math 1030:  Topics in algebra and probability, polynomial functions, the binomial theorem, logarithms, exponentials, and solutions to systems of equations.</w:t>
      </w:r>
    </w:p>
    <w:p w:rsidR="00B27F58" w:rsidRPr="00CA7DE0" w:rsidRDefault="00B27F58" w:rsidP="00B27F58">
      <w:pPr>
        <w:shd w:val="clear" w:color="auto" w:fill="FFFFFF"/>
        <w:rPr>
          <w:rFonts w:ascii="Cambria Math" w:hAnsi="Cambria Math" w:cs="Arial"/>
          <w:color w:val="222222"/>
          <w:szCs w:val="24"/>
        </w:rPr>
      </w:pPr>
      <w:r w:rsidRPr="00CA7DE0">
        <w:rPr>
          <w:rFonts w:ascii="Cambria Math" w:hAnsi="Cambria Math" w:cs="Arial"/>
          <w:color w:val="222222"/>
          <w:szCs w:val="24"/>
        </w:rPr>
        <w:t xml:space="preserve">This course </w:t>
      </w:r>
      <w:proofErr w:type="gramStart"/>
      <w:r w:rsidRPr="00CA7DE0">
        <w:rPr>
          <w:rFonts w:ascii="Cambria Math" w:hAnsi="Cambria Math" w:cs="Arial"/>
          <w:color w:val="222222"/>
          <w:szCs w:val="24"/>
        </w:rPr>
        <w:t>is being offered</w:t>
      </w:r>
      <w:proofErr w:type="gramEnd"/>
      <w:r w:rsidRPr="00CA7DE0">
        <w:rPr>
          <w:rFonts w:ascii="Cambria Math" w:hAnsi="Cambria Math" w:cs="Arial"/>
          <w:color w:val="222222"/>
          <w:szCs w:val="24"/>
        </w:rPr>
        <w:t xml:space="preserve"> for Advanced Credit through the University of Missouri-Saint Louis.  Enrollment is done on-line and you may register </w:t>
      </w:r>
      <w:proofErr w:type="gramStart"/>
      <w:r w:rsidRPr="00CA7DE0">
        <w:rPr>
          <w:rFonts w:ascii="Cambria Math" w:hAnsi="Cambria Math" w:cs="Arial"/>
          <w:color w:val="222222"/>
          <w:szCs w:val="24"/>
        </w:rPr>
        <w:t>at:</w:t>
      </w:r>
      <w:proofErr w:type="gramEnd"/>
      <w:r w:rsidRPr="00CA7DE0">
        <w:rPr>
          <w:rFonts w:ascii="Cambria Math" w:hAnsi="Cambria Math" w:cs="Arial"/>
          <w:color w:val="222222"/>
          <w:szCs w:val="24"/>
        </w:rPr>
        <w:t>  </w:t>
      </w:r>
      <w:hyperlink r:id="rId7" w:tgtFrame="_blank" w:history="1">
        <w:r w:rsidRPr="00CA7DE0">
          <w:rPr>
            <w:rStyle w:val="Hyperlink"/>
            <w:rFonts w:ascii="Cambria Math" w:hAnsi="Cambria Math" w:cs="Arial"/>
            <w:color w:val="1155CC"/>
            <w:szCs w:val="24"/>
          </w:rPr>
          <w:t>www.umsl.edu/acp</w:t>
        </w:r>
      </w:hyperlink>
      <w:r w:rsidRPr="00CA7DE0">
        <w:rPr>
          <w:rFonts w:ascii="Cambria Math" w:hAnsi="Cambria Math" w:cs="Arial"/>
          <w:color w:val="222222"/>
          <w:szCs w:val="24"/>
        </w:rPr>
        <w:t>. Please visit this site or call </w:t>
      </w:r>
      <w:hyperlink r:id="rId8" w:tgtFrame="_blank" w:history="1">
        <w:r w:rsidRPr="00CA7DE0">
          <w:rPr>
            <w:rStyle w:val="Hyperlink"/>
            <w:rFonts w:ascii="Cambria Math" w:hAnsi="Cambria Math" w:cs="Arial"/>
            <w:color w:val="1155CC"/>
            <w:szCs w:val="24"/>
          </w:rPr>
          <w:t>(314) 516-7005</w:t>
        </w:r>
      </w:hyperlink>
      <w:r w:rsidRPr="00CA7DE0">
        <w:rPr>
          <w:rFonts w:ascii="Cambria Math" w:hAnsi="Cambria Math" w:cs="Arial"/>
          <w:color w:val="222222"/>
          <w:szCs w:val="24"/>
        </w:rPr>
        <w:t>for more information.</w:t>
      </w:r>
      <w:r w:rsidRPr="00CA7DE0">
        <w:rPr>
          <w:rFonts w:ascii="Cambria Math" w:hAnsi="Cambria Math" w:cs="Arial"/>
          <w:color w:val="222222"/>
          <w:szCs w:val="24"/>
        </w:rPr>
        <w:br/>
      </w:r>
    </w:p>
    <w:p w:rsidR="00B27F58" w:rsidRPr="00CA7DE0" w:rsidRDefault="00B27F58" w:rsidP="00B27F58">
      <w:pPr>
        <w:shd w:val="clear" w:color="auto" w:fill="FFFFFF"/>
        <w:rPr>
          <w:rFonts w:ascii="Cambria Math" w:hAnsi="Cambria Math" w:cs="Arial"/>
          <w:color w:val="222222"/>
          <w:szCs w:val="24"/>
        </w:rPr>
      </w:pPr>
      <w:r w:rsidRPr="00CA7DE0">
        <w:rPr>
          <w:rFonts w:ascii="Cambria Math" w:hAnsi="Cambria Math" w:cs="Arial"/>
          <w:color w:val="222222"/>
          <w:szCs w:val="24"/>
        </w:rPr>
        <w:t>This course is available to students who meet the criteria for dual credit at the University of Missouri St. Louis.  </w:t>
      </w:r>
      <w:proofErr w:type="gramStart"/>
      <w:r w:rsidRPr="00CA7DE0">
        <w:rPr>
          <w:rFonts w:ascii="Cambria Math" w:hAnsi="Cambria Math" w:cs="Arial"/>
          <w:color w:val="222222"/>
          <w:szCs w:val="24"/>
        </w:rPr>
        <w:t>When you successfully complete this course with a “C” or above you will have earned three college credit hours if you have enrolled with the University of Missouri St. Louis.</w:t>
      </w:r>
      <w:proofErr w:type="gramEnd"/>
      <w:r w:rsidRPr="00CA7DE0">
        <w:rPr>
          <w:rFonts w:ascii="Cambria Math" w:hAnsi="Cambria Math" w:cs="Arial"/>
          <w:color w:val="222222"/>
          <w:szCs w:val="24"/>
        </w:rPr>
        <w:t>  You can enroll for the course online at </w:t>
      </w:r>
      <w:hyperlink r:id="rId9" w:tgtFrame="_blank" w:history="1">
        <w:r w:rsidRPr="00CA7DE0">
          <w:rPr>
            <w:rStyle w:val="Hyperlink"/>
            <w:rFonts w:ascii="Cambria Math" w:hAnsi="Cambria Math" w:cs="Arial"/>
            <w:color w:val="1155CC"/>
            <w:szCs w:val="24"/>
          </w:rPr>
          <w:t>www.umsl.edu/acp</w:t>
        </w:r>
      </w:hyperlink>
      <w:r w:rsidRPr="00CA7DE0">
        <w:rPr>
          <w:rFonts w:ascii="Cambria Math" w:hAnsi="Cambria Math" w:cs="Arial"/>
          <w:color w:val="222222"/>
          <w:szCs w:val="24"/>
        </w:rPr>
        <w:t>.     </w:t>
      </w:r>
      <w:r w:rsidRPr="00CA7DE0">
        <w:rPr>
          <w:rFonts w:ascii="Cambria Math" w:hAnsi="Cambria Math" w:cs="Arial"/>
          <w:color w:val="222222"/>
          <w:szCs w:val="24"/>
        </w:rPr>
        <w:br/>
      </w:r>
      <w:r w:rsidRPr="00CA7DE0">
        <w:rPr>
          <w:rFonts w:ascii="Cambria Math" w:hAnsi="Cambria Math" w:cs="Arial"/>
          <w:color w:val="222222"/>
          <w:szCs w:val="24"/>
        </w:rPr>
        <w:br/>
      </w:r>
      <w:r w:rsidRPr="00CA7DE0">
        <w:rPr>
          <w:rFonts w:ascii="Cambria Math" w:hAnsi="Cambria Math" w:cs="Arial"/>
          <w:bCs/>
          <w:color w:val="222222"/>
          <w:szCs w:val="24"/>
        </w:rPr>
        <w:t>Optional College Credit for this course:</w:t>
      </w:r>
      <w:r w:rsidRPr="00CA7DE0">
        <w:rPr>
          <w:rFonts w:ascii="Cambria Math" w:hAnsi="Cambria Math" w:cs="Arial"/>
          <w:color w:val="222222"/>
          <w:szCs w:val="24"/>
        </w:rPr>
        <w:t> </w:t>
      </w:r>
    </w:p>
    <w:p w:rsidR="001363A8" w:rsidRPr="00CA7DE0" w:rsidRDefault="00B27F58" w:rsidP="00CA7DE0">
      <w:pPr>
        <w:shd w:val="clear" w:color="auto" w:fill="FFFFFF"/>
        <w:rPr>
          <w:rFonts w:ascii="Cambria Math" w:hAnsi="Cambria Math" w:cs="Arial"/>
          <w:color w:val="222222"/>
          <w:szCs w:val="24"/>
        </w:rPr>
      </w:pPr>
      <w:r w:rsidRPr="00CA7DE0">
        <w:rPr>
          <w:rFonts w:ascii="Cambria Math" w:hAnsi="Cambria Math" w:cs="Arial"/>
          <w:color w:val="222222"/>
          <w:szCs w:val="24"/>
        </w:rPr>
        <w:t xml:space="preserve"> For a fee, five (5) hours of college credit is available through the University of Missouri - St. Louis (you should check with receiving schools as to whether they accept this transfer credit).   It is always up to the receiving institution as to whether credit </w:t>
      </w:r>
      <w:proofErr w:type="gramStart"/>
      <w:r w:rsidRPr="00CA7DE0">
        <w:rPr>
          <w:rFonts w:ascii="Cambria Math" w:hAnsi="Cambria Math" w:cs="Arial"/>
          <w:color w:val="222222"/>
          <w:szCs w:val="24"/>
        </w:rPr>
        <w:t>will be accepted</w:t>
      </w:r>
      <w:proofErr w:type="gramEnd"/>
      <w:r w:rsidRPr="00CA7DE0">
        <w:rPr>
          <w:rFonts w:ascii="Cambria Math" w:hAnsi="Cambria Math" w:cs="Arial"/>
          <w:color w:val="222222"/>
          <w:szCs w:val="24"/>
        </w:rPr>
        <w:t xml:space="preserve"> for transfer credit or not.  Registration for UMSL credit for this course usually takes place online in January and is subject to very strict deadlines. These deadlines are set by the university and required by the Coordinating Board for Higher Education (CBHE). Credit </w:t>
      </w:r>
      <w:proofErr w:type="gramStart"/>
      <w:r w:rsidRPr="00CA7DE0">
        <w:rPr>
          <w:rFonts w:ascii="Cambria Math" w:hAnsi="Cambria Math" w:cs="Arial"/>
          <w:color w:val="222222"/>
          <w:szCs w:val="24"/>
        </w:rPr>
        <w:t>must be paid for</w:t>
      </w:r>
      <w:proofErr w:type="gramEnd"/>
      <w:r w:rsidRPr="00CA7DE0">
        <w:rPr>
          <w:rFonts w:ascii="Cambria Math" w:hAnsi="Cambria Math" w:cs="Arial"/>
          <w:color w:val="222222"/>
          <w:szCs w:val="24"/>
        </w:rPr>
        <w:t xml:space="preserve"> during the semester the student is enrolled in the class. Retroactive credit </w:t>
      </w:r>
      <w:proofErr w:type="gramStart"/>
      <w:r w:rsidRPr="00CA7DE0">
        <w:rPr>
          <w:rFonts w:ascii="Cambria Math" w:hAnsi="Cambria Math" w:cs="Arial"/>
          <w:color w:val="222222"/>
          <w:szCs w:val="24"/>
        </w:rPr>
        <w:t>can’t</w:t>
      </w:r>
      <w:proofErr w:type="gramEnd"/>
      <w:r w:rsidRPr="00CA7DE0">
        <w:rPr>
          <w:rFonts w:ascii="Cambria Math" w:hAnsi="Cambria Math" w:cs="Arial"/>
          <w:color w:val="222222"/>
          <w:szCs w:val="24"/>
        </w:rPr>
        <w:t xml:space="preserve"> be granted. Please visit the UMSL Advanced Credit website is </w:t>
      </w:r>
      <w:hyperlink r:id="rId10" w:tgtFrame="_blank" w:history="1">
        <w:r w:rsidRPr="00CA7DE0">
          <w:rPr>
            <w:rStyle w:val="Hyperlink"/>
            <w:rFonts w:ascii="Cambria Math" w:hAnsi="Cambria Math" w:cs="Arial"/>
            <w:color w:val="1155CC"/>
            <w:szCs w:val="24"/>
          </w:rPr>
          <w:t>www.umsl.edu/acp</w:t>
        </w:r>
      </w:hyperlink>
      <w:r w:rsidRPr="00CA7DE0">
        <w:rPr>
          <w:rFonts w:ascii="Cambria Math" w:hAnsi="Cambria Math" w:cs="Arial"/>
          <w:color w:val="222222"/>
          <w:szCs w:val="24"/>
        </w:rPr>
        <w:t> for current prices and deadlines. </w:t>
      </w:r>
      <w:r w:rsidRPr="00CA7DE0">
        <w:rPr>
          <w:rFonts w:ascii="Cambria Math" w:hAnsi="Cambria Math" w:cs="Arial"/>
          <w:color w:val="222222"/>
          <w:szCs w:val="24"/>
        </w:rPr>
        <w:br/>
      </w:r>
      <w:bookmarkStart w:id="0" w:name="_GoBack"/>
      <w:bookmarkEnd w:id="0"/>
    </w:p>
    <w:p w:rsidR="001363A8" w:rsidRPr="00CA7DE0" w:rsidRDefault="001363A8" w:rsidP="00544B57">
      <w:pPr>
        <w:rPr>
          <w:rFonts w:ascii="Cambria Math" w:hAnsi="Cambria Math"/>
          <w:szCs w:val="24"/>
        </w:rPr>
      </w:pPr>
      <w:r w:rsidRPr="00CA7DE0">
        <w:rPr>
          <w:rFonts w:ascii="Cambria Math" w:hAnsi="Cambria Math"/>
          <w:szCs w:val="24"/>
        </w:rPr>
        <w:t>Materials:</w:t>
      </w:r>
    </w:p>
    <w:p w:rsidR="001363A8" w:rsidRPr="00CA7DE0" w:rsidRDefault="001363A8" w:rsidP="00544B57">
      <w:pPr>
        <w:rPr>
          <w:rFonts w:ascii="Cambria Math" w:hAnsi="Cambria Math"/>
          <w:szCs w:val="24"/>
        </w:rPr>
      </w:pPr>
      <w:r w:rsidRPr="00CA7DE0">
        <w:rPr>
          <w:rFonts w:ascii="Cambria Math" w:hAnsi="Cambria Math"/>
          <w:szCs w:val="24"/>
        </w:rPr>
        <w:t xml:space="preserve">Algebra and Trigonometry by Blitzer, 4 </w:t>
      </w:r>
      <w:proofErr w:type="spellStart"/>
      <w:proofErr w:type="gramStart"/>
      <w:r w:rsidRPr="00CA7DE0">
        <w:rPr>
          <w:rFonts w:ascii="Cambria Math" w:hAnsi="Cambria Math"/>
          <w:szCs w:val="24"/>
        </w:rPr>
        <w:t>th</w:t>
      </w:r>
      <w:proofErr w:type="spellEnd"/>
      <w:proofErr w:type="gramEnd"/>
      <w:r w:rsidRPr="00CA7DE0">
        <w:rPr>
          <w:rFonts w:ascii="Cambria Math" w:hAnsi="Cambria Math"/>
          <w:szCs w:val="24"/>
        </w:rPr>
        <w:t xml:space="preserve"> edition, pencil, binder, and scratch paper. </w:t>
      </w:r>
    </w:p>
    <w:p w:rsidR="00C90231" w:rsidRPr="00CA7DE0" w:rsidRDefault="00C90231" w:rsidP="00544B57">
      <w:pPr>
        <w:rPr>
          <w:rFonts w:ascii="Cambria Math" w:hAnsi="Cambria Math" w:cs="Tahoma"/>
          <w:color w:val="000000"/>
          <w:szCs w:val="24"/>
          <w:shd w:val="clear" w:color="auto" w:fill="FFFFFF"/>
        </w:rPr>
      </w:pPr>
    </w:p>
    <w:p w:rsidR="004207D2" w:rsidRPr="00CA7DE0" w:rsidRDefault="004207D2" w:rsidP="00544B57">
      <w:pPr>
        <w:rPr>
          <w:rFonts w:ascii="Cambria Math" w:hAnsi="Cambria Math"/>
          <w:szCs w:val="24"/>
        </w:rPr>
      </w:pPr>
      <w:r w:rsidRPr="00CA7DE0">
        <w:rPr>
          <w:rFonts w:ascii="Cambria Math" w:hAnsi="Cambria Math"/>
          <w:szCs w:val="24"/>
        </w:rPr>
        <w:t>Calculator Policy:</w:t>
      </w:r>
    </w:p>
    <w:p w:rsidR="004207D2" w:rsidRPr="00CA7DE0" w:rsidRDefault="004207D2" w:rsidP="00544B57">
      <w:pPr>
        <w:rPr>
          <w:rFonts w:ascii="Cambria Math" w:hAnsi="Cambria Math"/>
          <w:szCs w:val="24"/>
        </w:rPr>
      </w:pPr>
      <w:r w:rsidRPr="00CA7DE0">
        <w:rPr>
          <w:rFonts w:ascii="Cambria Math" w:hAnsi="Cambria Math"/>
          <w:szCs w:val="24"/>
        </w:rPr>
        <w:t xml:space="preserve">No calculators </w:t>
      </w:r>
      <w:proofErr w:type="gramStart"/>
      <w:r w:rsidRPr="00CA7DE0">
        <w:rPr>
          <w:rFonts w:ascii="Cambria Math" w:hAnsi="Cambria Math"/>
          <w:szCs w:val="24"/>
        </w:rPr>
        <w:t>are allowed</w:t>
      </w:r>
      <w:proofErr w:type="gramEnd"/>
      <w:r w:rsidRPr="00CA7DE0">
        <w:rPr>
          <w:rFonts w:ascii="Cambria Math" w:hAnsi="Cambria Math"/>
          <w:szCs w:val="24"/>
        </w:rPr>
        <w:t xml:space="preserve"> on quizzes or tests. This is an UMSL policy. </w:t>
      </w:r>
    </w:p>
    <w:p w:rsidR="004207D2" w:rsidRPr="00CA7DE0" w:rsidRDefault="00F54057" w:rsidP="004207D2">
      <w:pPr>
        <w:spacing w:line="240" w:lineRule="auto"/>
        <w:rPr>
          <w:rFonts w:ascii="Cambria Math" w:hAnsi="Cambria Math"/>
          <w:szCs w:val="24"/>
        </w:rPr>
      </w:pPr>
      <w:r w:rsidRPr="00CA7DE0">
        <w:rPr>
          <w:rFonts w:ascii="Cambria Math" w:hAnsi="Cambria Math"/>
          <w:szCs w:val="24"/>
        </w:rPr>
        <w:lastRenderedPageBreak/>
        <w:t xml:space="preserve"> </w:t>
      </w:r>
      <w:r w:rsidR="004207D2" w:rsidRPr="00CA7DE0">
        <w:rPr>
          <w:rFonts w:ascii="Cambria Math" w:hAnsi="Cambria Math"/>
          <w:szCs w:val="24"/>
        </w:rPr>
        <w:t>“The reason for this is that we have found that the use of such devices tends to exacerbate weaknesses, particularly regarding basic skills. For that reason, you might consider not using one on your homework unless it’s an absolute must.” (UMSL Syllabus)</w:t>
      </w:r>
    </w:p>
    <w:p w:rsidR="00C90231" w:rsidRPr="00CA7DE0" w:rsidRDefault="00C90231" w:rsidP="004207D2">
      <w:pPr>
        <w:spacing w:line="240" w:lineRule="auto"/>
        <w:rPr>
          <w:rFonts w:ascii="Cambria Math" w:hAnsi="Cambria Math"/>
          <w:szCs w:val="24"/>
        </w:rPr>
      </w:pPr>
    </w:p>
    <w:p w:rsidR="00C90231" w:rsidRPr="00CA7DE0" w:rsidRDefault="00C90231" w:rsidP="004207D2">
      <w:pPr>
        <w:spacing w:line="240" w:lineRule="auto"/>
        <w:rPr>
          <w:rFonts w:ascii="Cambria Math" w:hAnsi="Cambria Math"/>
          <w:szCs w:val="24"/>
        </w:rPr>
      </w:pPr>
      <w:r w:rsidRPr="00CA7DE0">
        <w:rPr>
          <w:rFonts w:ascii="Cambria Math" w:hAnsi="Cambria Math"/>
          <w:szCs w:val="24"/>
        </w:rPr>
        <w:t>Learning Outcomes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How to find zeros and graphs of polynomial functions.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Understand solving linear, quadratic, absolute value, radical, and other types of equations.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Learn polynomial division, remainder and factor theorem, and zeros of theorems.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How to use of matrices and determinants to solve linear systems of equations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Applying the concept of logarithms and exponential functions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Learn sequences and summation notation. Learn to recognize and do calculations involving arithmetic and geometric series.</w:t>
      </w:r>
    </w:p>
    <w:p w:rsidR="00C90231" w:rsidRPr="00CA7DE0" w:rsidRDefault="00C90231" w:rsidP="00C90231">
      <w:pPr>
        <w:pStyle w:val="ListParagraph"/>
        <w:numPr>
          <w:ilvl w:val="0"/>
          <w:numId w:val="6"/>
        </w:numPr>
        <w:rPr>
          <w:rFonts w:ascii="Cambria Math" w:hAnsi="Cambria Math"/>
          <w:sz w:val="24"/>
          <w:szCs w:val="24"/>
        </w:rPr>
      </w:pPr>
      <w:r w:rsidRPr="00CA7DE0">
        <w:rPr>
          <w:rFonts w:ascii="Cambria Math" w:hAnsi="Cambria Math"/>
          <w:sz w:val="24"/>
          <w:szCs w:val="24"/>
        </w:rPr>
        <w:t>How to use the binomial theorem and Pascal’s triangle to expand binomials in positive integer powers.</w:t>
      </w:r>
    </w:p>
    <w:p w:rsidR="00184DF9" w:rsidRPr="00CA7DE0" w:rsidRDefault="00184DF9" w:rsidP="00544B57">
      <w:pPr>
        <w:rPr>
          <w:rFonts w:ascii="Cambria Math" w:hAnsi="Cambria Math"/>
          <w:szCs w:val="24"/>
        </w:rPr>
      </w:pPr>
    </w:p>
    <w:p w:rsidR="00184DF9" w:rsidRPr="00CA7DE0" w:rsidRDefault="00184DF9" w:rsidP="00544B57">
      <w:pPr>
        <w:rPr>
          <w:rFonts w:ascii="Cambria Math" w:hAnsi="Cambria Math"/>
          <w:szCs w:val="24"/>
        </w:rPr>
      </w:pPr>
      <w:r w:rsidRPr="00CA7DE0">
        <w:rPr>
          <w:rFonts w:ascii="Cambria Math" w:hAnsi="Cambria Math"/>
          <w:szCs w:val="24"/>
        </w:rPr>
        <w:t>Formative assessment:</w:t>
      </w:r>
    </w:p>
    <w:p w:rsidR="00184DF9" w:rsidRPr="00CA7DE0" w:rsidRDefault="00F14C99" w:rsidP="00544B57">
      <w:pPr>
        <w:rPr>
          <w:rFonts w:ascii="Cambria Math" w:hAnsi="Cambria Math"/>
          <w:szCs w:val="24"/>
        </w:rPr>
      </w:pPr>
      <w:r w:rsidRPr="00CA7DE0">
        <w:rPr>
          <w:rFonts w:ascii="Cambria Math" w:hAnsi="Cambria Math"/>
          <w:szCs w:val="24"/>
        </w:rPr>
        <w:t xml:space="preserve">Formative assessments consist primarily of practice problems and quizzes.  Practice Problems </w:t>
      </w:r>
      <w:proofErr w:type="gramStart"/>
      <w:r w:rsidRPr="00CA7DE0">
        <w:rPr>
          <w:rFonts w:ascii="Cambria Math" w:hAnsi="Cambria Math"/>
          <w:szCs w:val="24"/>
        </w:rPr>
        <w:t>are given</w:t>
      </w:r>
      <w:proofErr w:type="gramEnd"/>
      <w:r w:rsidRPr="00CA7DE0">
        <w:rPr>
          <w:rFonts w:ascii="Cambria Math" w:hAnsi="Cambria Math"/>
          <w:szCs w:val="24"/>
        </w:rPr>
        <w:t xml:space="preserve"> for each section covered.  Practice problems are </w:t>
      </w:r>
      <w:r w:rsidR="00CA7DE0" w:rsidRPr="00CA7DE0">
        <w:rPr>
          <w:rFonts w:ascii="Cambria Math" w:hAnsi="Cambria Math"/>
          <w:szCs w:val="24"/>
        </w:rPr>
        <w:t xml:space="preserve">found on mathxlforschool.com and </w:t>
      </w:r>
      <w:proofErr w:type="gramStart"/>
      <w:r w:rsidR="00CA7DE0" w:rsidRPr="00CA7DE0">
        <w:rPr>
          <w:rFonts w:ascii="Cambria Math" w:hAnsi="Cambria Math"/>
          <w:szCs w:val="24"/>
        </w:rPr>
        <w:t>will be graded</w:t>
      </w:r>
      <w:proofErr w:type="gramEnd"/>
      <w:r w:rsidR="00CA7DE0" w:rsidRPr="00CA7DE0">
        <w:rPr>
          <w:rFonts w:ascii="Cambria Math" w:hAnsi="Cambria Math"/>
          <w:szCs w:val="24"/>
        </w:rPr>
        <w:t xml:space="preserve"> for accuracy.</w:t>
      </w:r>
      <w:r w:rsidR="00005EA2" w:rsidRPr="00CA7DE0">
        <w:rPr>
          <w:rFonts w:ascii="Cambria Math" w:hAnsi="Cambria Math"/>
          <w:szCs w:val="24"/>
        </w:rPr>
        <w:t xml:space="preserve">  Late work will follow the IWA Policy for NLPS. </w:t>
      </w:r>
      <w:r w:rsidRPr="00CA7DE0">
        <w:rPr>
          <w:rFonts w:ascii="Cambria Math" w:hAnsi="Cambria Math"/>
          <w:szCs w:val="24"/>
        </w:rPr>
        <w:t xml:space="preserve"> </w:t>
      </w:r>
      <w:r w:rsidR="00CA7DE0" w:rsidRPr="00CA7DE0">
        <w:rPr>
          <w:rFonts w:ascii="Cambria Math" w:hAnsi="Cambria Math"/>
          <w:szCs w:val="24"/>
        </w:rPr>
        <w:t xml:space="preserve">Quizzes are worth double your practice problems. </w:t>
      </w:r>
      <w:r w:rsidRPr="00CA7DE0">
        <w:rPr>
          <w:rFonts w:ascii="Cambria Math" w:hAnsi="Cambria Math"/>
          <w:szCs w:val="24"/>
        </w:rPr>
        <w:t xml:space="preserve">  Quizzes </w:t>
      </w:r>
      <w:proofErr w:type="gramStart"/>
      <w:r w:rsidRPr="00CA7DE0">
        <w:rPr>
          <w:rFonts w:ascii="Cambria Math" w:hAnsi="Cambria Math"/>
          <w:szCs w:val="24"/>
        </w:rPr>
        <w:t>are given</w:t>
      </w:r>
      <w:proofErr w:type="gramEnd"/>
      <w:r w:rsidRPr="00CA7DE0">
        <w:rPr>
          <w:rFonts w:ascii="Cambria Math" w:hAnsi="Cambria Math"/>
          <w:szCs w:val="24"/>
        </w:rPr>
        <w:t xml:space="preserve"> in class and will be your primary source of review for your tests.  </w:t>
      </w:r>
      <w:r w:rsidR="00477E63" w:rsidRPr="00CA7DE0">
        <w:rPr>
          <w:rFonts w:ascii="Cambria Math" w:hAnsi="Cambria Math"/>
          <w:szCs w:val="24"/>
        </w:rPr>
        <w:t xml:space="preserve">Quizzes will reflect the more challenging questions from your practice problems.  We are looking for a higher understanding then what </w:t>
      </w:r>
      <w:proofErr w:type="gramStart"/>
      <w:r w:rsidR="00477E63" w:rsidRPr="00CA7DE0">
        <w:rPr>
          <w:rFonts w:ascii="Cambria Math" w:hAnsi="Cambria Math"/>
          <w:szCs w:val="24"/>
        </w:rPr>
        <w:t>is presented</w:t>
      </w:r>
      <w:proofErr w:type="gramEnd"/>
      <w:r w:rsidR="00477E63" w:rsidRPr="00CA7DE0">
        <w:rPr>
          <w:rFonts w:ascii="Cambria Math" w:hAnsi="Cambria Math"/>
          <w:szCs w:val="24"/>
        </w:rPr>
        <w:t xml:space="preserve"> in class. </w:t>
      </w:r>
      <w:r w:rsidR="00005EA2" w:rsidRPr="00CA7DE0">
        <w:rPr>
          <w:rFonts w:ascii="Cambria Math" w:hAnsi="Cambria Math"/>
          <w:szCs w:val="24"/>
        </w:rPr>
        <w:t>All practice problems</w:t>
      </w:r>
      <w:r w:rsidR="00CA7DE0" w:rsidRPr="00CA7DE0">
        <w:rPr>
          <w:rFonts w:ascii="Cambria Math" w:hAnsi="Cambria Math"/>
          <w:szCs w:val="24"/>
        </w:rPr>
        <w:t xml:space="preserve"> </w:t>
      </w:r>
      <w:proofErr w:type="gramStart"/>
      <w:r w:rsidR="00CA7DE0" w:rsidRPr="00CA7DE0">
        <w:rPr>
          <w:rFonts w:ascii="Cambria Math" w:hAnsi="Cambria Math"/>
          <w:szCs w:val="24"/>
        </w:rPr>
        <w:t>Must</w:t>
      </w:r>
      <w:proofErr w:type="gramEnd"/>
      <w:r w:rsidR="00CA7DE0" w:rsidRPr="00CA7DE0">
        <w:rPr>
          <w:rFonts w:ascii="Cambria Math" w:hAnsi="Cambria Math"/>
          <w:szCs w:val="24"/>
        </w:rPr>
        <w:t xml:space="preserve"> be completed before you take your quiz. All practice problems</w:t>
      </w:r>
      <w:r w:rsidR="00005EA2" w:rsidRPr="00CA7DE0">
        <w:rPr>
          <w:rFonts w:ascii="Cambria Math" w:hAnsi="Cambria Math"/>
          <w:szCs w:val="24"/>
        </w:rPr>
        <w:t xml:space="preserve"> and quizzes </w:t>
      </w:r>
      <w:proofErr w:type="gramStart"/>
      <w:r w:rsidR="00005EA2" w:rsidRPr="00CA7DE0">
        <w:rPr>
          <w:rFonts w:ascii="Cambria Math" w:hAnsi="Cambria Math"/>
          <w:szCs w:val="24"/>
        </w:rPr>
        <w:t>must be completed</w:t>
      </w:r>
      <w:proofErr w:type="gramEnd"/>
      <w:r w:rsidR="00005EA2" w:rsidRPr="00CA7DE0">
        <w:rPr>
          <w:rFonts w:ascii="Cambria Math" w:hAnsi="Cambria Math"/>
          <w:szCs w:val="24"/>
        </w:rPr>
        <w:t xml:space="preserve"> before you may take your test.</w:t>
      </w:r>
      <w:r w:rsidR="00832B5F" w:rsidRPr="00CA7DE0">
        <w:rPr>
          <w:rFonts w:ascii="Cambria Math" w:hAnsi="Cambria Math"/>
          <w:szCs w:val="24"/>
        </w:rPr>
        <w:t xml:space="preserve">  Supplemental material in the forms </w:t>
      </w:r>
      <w:r w:rsidR="003470BF" w:rsidRPr="00CA7DE0">
        <w:rPr>
          <w:rFonts w:ascii="Cambria Math" w:hAnsi="Cambria Math"/>
          <w:szCs w:val="24"/>
        </w:rPr>
        <w:t xml:space="preserve">of open labs </w:t>
      </w:r>
      <w:proofErr w:type="gramStart"/>
      <w:r w:rsidR="00832B5F" w:rsidRPr="00CA7DE0">
        <w:rPr>
          <w:rFonts w:ascii="Cambria Math" w:hAnsi="Cambria Math"/>
          <w:szCs w:val="24"/>
        </w:rPr>
        <w:t>may be added</w:t>
      </w:r>
      <w:proofErr w:type="gramEnd"/>
      <w:r w:rsidR="00832B5F" w:rsidRPr="00CA7DE0">
        <w:rPr>
          <w:rFonts w:ascii="Cambria Math" w:hAnsi="Cambria Math"/>
          <w:szCs w:val="24"/>
        </w:rPr>
        <w:t xml:space="preserve"> as necessary throughout the semester. </w:t>
      </w:r>
    </w:p>
    <w:p w:rsidR="00184DF9" w:rsidRPr="00CA7DE0" w:rsidRDefault="00184DF9" w:rsidP="00544B57">
      <w:pPr>
        <w:rPr>
          <w:rFonts w:ascii="Cambria Math" w:hAnsi="Cambria Math"/>
          <w:szCs w:val="24"/>
        </w:rPr>
      </w:pPr>
    </w:p>
    <w:p w:rsidR="00184DF9" w:rsidRPr="00CA7DE0" w:rsidRDefault="00184DF9" w:rsidP="00544B57">
      <w:pPr>
        <w:rPr>
          <w:rFonts w:ascii="Cambria Math" w:hAnsi="Cambria Math"/>
          <w:szCs w:val="24"/>
        </w:rPr>
      </w:pPr>
      <w:r w:rsidRPr="00CA7DE0">
        <w:rPr>
          <w:rFonts w:ascii="Cambria Math" w:hAnsi="Cambria Math"/>
          <w:szCs w:val="24"/>
        </w:rPr>
        <w:t xml:space="preserve">Summative Assessment: </w:t>
      </w:r>
    </w:p>
    <w:p w:rsidR="00184DF9" w:rsidRPr="00CA7DE0" w:rsidRDefault="00477E63" w:rsidP="00544B57">
      <w:pPr>
        <w:rPr>
          <w:rFonts w:ascii="Cambria Math" w:hAnsi="Cambria Math"/>
          <w:szCs w:val="24"/>
        </w:rPr>
      </w:pPr>
      <w:r w:rsidRPr="00CA7DE0">
        <w:rPr>
          <w:rFonts w:ascii="Cambria Math" w:hAnsi="Cambria Math"/>
          <w:szCs w:val="24"/>
        </w:rPr>
        <w:t xml:space="preserve">Summative Assessments </w:t>
      </w:r>
      <w:proofErr w:type="gramStart"/>
      <w:r w:rsidRPr="00CA7DE0">
        <w:rPr>
          <w:rFonts w:ascii="Cambria Math" w:hAnsi="Cambria Math"/>
          <w:szCs w:val="24"/>
        </w:rPr>
        <w:t>will be given</w:t>
      </w:r>
      <w:proofErr w:type="gramEnd"/>
      <w:r w:rsidRPr="00CA7DE0">
        <w:rPr>
          <w:rFonts w:ascii="Cambria Math" w:hAnsi="Cambria Math"/>
          <w:szCs w:val="24"/>
        </w:rPr>
        <w:t xml:space="preserve"> in the form of tests.  All tests </w:t>
      </w:r>
      <w:proofErr w:type="gramStart"/>
      <w:r w:rsidRPr="00CA7DE0">
        <w:rPr>
          <w:rFonts w:ascii="Cambria Math" w:hAnsi="Cambria Math"/>
          <w:szCs w:val="24"/>
        </w:rPr>
        <w:t>will be given</w:t>
      </w:r>
      <w:proofErr w:type="gramEnd"/>
      <w:r w:rsidRPr="00CA7DE0">
        <w:rPr>
          <w:rFonts w:ascii="Cambria Math" w:hAnsi="Cambria Math"/>
          <w:szCs w:val="24"/>
        </w:rPr>
        <w:t xml:space="preserve"> in the testing center.  Before you can take a </w:t>
      </w:r>
      <w:proofErr w:type="gramStart"/>
      <w:r w:rsidRPr="00CA7DE0">
        <w:rPr>
          <w:rFonts w:ascii="Cambria Math" w:hAnsi="Cambria Math"/>
          <w:szCs w:val="24"/>
        </w:rPr>
        <w:t>test</w:t>
      </w:r>
      <w:proofErr w:type="gramEnd"/>
      <w:r w:rsidRPr="00CA7DE0">
        <w:rPr>
          <w:rFonts w:ascii="Cambria Math" w:hAnsi="Cambria Math"/>
          <w:szCs w:val="24"/>
        </w:rPr>
        <w:t xml:space="preserve"> you will need to have completed all formative assignments and a practice test given in class.  Tests will reflect the quizzes and these quizzes should be your main source of study. </w:t>
      </w:r>
      <w:r w:rsidR="000F2E70" w:rsidRPr="00CA7DE0">
        <w:rPr>
          <w:rFonts w:ascii="Cambria Math" w:hAnsi="Cambria Math"/>
          <w:szCs w:val="24"/>
        </w:rPr>
        <w:t xml:space="preserve">If you fail a summative assessment you will be required to complete the IWA redo process. </w:t>
      </w:r>
    </w:p>
    <w:p w:rsidR="00184DF9" w:rsidRPr="00CA7DE0" w:rsidRDefault="00184DF9" w:rsidP="00544B57">
      <w:pPr>
        <w:rPr>
          <w:rFonts w:ascii="Cambria Math" w:hAnsi="Cambria Math"/>
          <w:szCs w:val="24"/>
        </w:rPr>
      </w:pPr>
    </w:p>
    <w:p w:rsidR="00184DF9" w:rsidRPr="00CA7DE0" w:rsidRDefault="00184DF9" w:rsidP="00544B57">
      <w:pPr>
        <w:rPr>
          <w:rFonts w:ascii="Cambria Math" w:hAnsi="Cambria Math"/>
          <w:szCs w:val="24"/>
        </w:rPr>
      </w:pPr>
      <w:r w:rsidRPr="00CA7DE0">
        <w:rPr>
          <w:rFonts w:ascii="Cambria Math" w:hAnsi="Cambria Math"/>
          <w:szCs w:val="24"/>
        </w:rPr>
        <w:t>Final</w:t>
      </w:r>
      <w:r w:rsidR="00DA58D8" w:rsidRPr="00CA7DE0">
        <w:rPr>
          <w:rFonts w:ascii="Cambria Math" w:hAnsi="Cambria Math"/>
          <w:szCs w:val="24"/>
        </w:rPr>
        <w:t xml:space="preserve"> 1</w:t>
      </w:r>
      <w:r w:rsidR="00CA7DE0" w:rsidRPr="00CA7DE0">
        <w:rPr>
          <w:rFonts w:ascii="Cambria Math" w:hAnsi="Cambria Math"/>
          <w:szCs w:val="24"/>
        </w:rPr>
        <w:t>5</w:t>
      </w:r>
      <w:r w:rsidR="00DA58D8" w:rsidRPr="00CA7DE0">
        <w:rPr>
          <w:rFonts w:ascii="Cambria Math" w:hAnsi="Cambria Math"/>
          <w:szCs w:val="24"/>
        </w:rPr>
        <w:t>%</w:t>
      </w:r>
      <w:r w:rsidRPr="00CA7DE0">
        <w:rPr>
          <w:rFonts w:ascii="Cambria Math" w:hAnsi="Cambria Math"/>
          <w:szCs w:val="24"/>
        </w:rPr>
        <w:t>:</w:t>
      </w:r>
    </w:p>
    <w:p w:rsidR="00184DF9" w:rsidRPr="00CA7DE0" w:rsidRDefault="0099635C" w:rsidP="00544B57">
      <w:pPr>
        <w:rPr>
          <w:rFonts w:ascii="Cambria Math" w:hAnsi="Cambria Math"/>
          <w:szCs w:val="24"/>
        </w:rPr>
      </w:pPr>
      <w:r w:rsidRPr="00CA7DE0">
        <w:rPr>
          <w:rFonts w:ascii="Cambria Math" w:hAnsi="Cambria Math"/>
          <w:szCs w:val="24"/>
        </w:rPr>
        <w:t>The final will be taken during finals week</w:t>
      </w:r>
      <w:r w:rsidR="00CA7DE0">
        <w:rPr>
          <w:rFonts w:ascii="Cambria Math" w:hAnsi="Cambria Math"/>
          <w:szCs w:val="24"/>
        </w:rPr>
        <w:t xml:space="preserve"> and consist of equal parts of all summative assessments</w:t>
      </w:r>
      <w:r w:rsidRPr="00CA7DE0">
        <w:rPr>
          <w:rFonts w:ascii="Cambria Math" w:hAnsi="Cambria Math"/>
          <w:szCs w:val="24"/>
        </w:rPr>
        <w:t xml:space="preserve">.  You are required to complete all summative assessments before you can take the Final.  </w:t>
      </w:r>
    </w:p>
    <w:p w:rsidR="001363A8" w:rsidRPr="00CA7DE0" w:rsidRDefault="001363A8" w:rsidP="00544B57">
      <w:pPr>
        <w:rPr>
          <w:rFonts w:ascii="Cambria Math" w:hAnsi="Cambria Math"/>
          <w:szCs w:val="24"/>
        </w:rPr>
      </w:pPr>
    </w:p>
    <w:p w:rsidR="00823B80" w:rsidRPr="00CA7DE0" w:rsidRDefault="00823B80" w:rsidP="00823B80">
      <w:pPr>
        <w:rPr>
          <w:rFonts w:ascii="Cambria Math" w:hAnsi="Cambria Math"/>
          <w:szCs w:val="24"/>
        </w:rPr>
      </w:pPr>
      <w:r w:rsidRPr="00CA7DE0">
        <w:rPr>
          <w:rFonts w:ascii="Cambria Math" w:hAnsi="Cambria Math"/>
          <w:szCs w:val="24"/>
        </w:rPr>
        <w:t>Parental Contact</w:t>
      </w:r>
    </w:p>
    <w:p w:rsidR="00823B80" w:rsidRPr="00CA7DE0" w:rsidRDefault="00823B80" w:rsidP="00823B80">
      <w:pPr>
        <w:rPr>
          <w:rFonts w:ascii="Cambria Math" w:hAnsi="Cambria Math"/>
          <w:szCs w:val="24"/>
        </w:rPr>
      </w:pPr>
      <w:r w:rsidRPr="00CA7DE0">
        <w:rPr>
          <w:rFonts w:ascii="Cambria Math" w:hAnsi="Cambria Math"/>
          <w:szCs w:val="24"/>
        </w:rPr>
        <w:t xml:space="preserve">If your grade falls to a 70% or below, your parents </w:t>
      </w:r>
      <w:proofErr w:type="gramStart"/>
      <w:r w:rsidRPr="00CA7DE0">
        <w:rPr>
          <w:rFonts w:ascii="Cambria Math" w:hAnsi="Cambria Math"/>
          <w:szCs w:val="24"/>
        </w:rPr>
        <w:t>will be contacted</w:t>
      </w:r>
      <w:proofErr w:type="gramEnd"/>
      <w:r w:rsidRPr="00CA7DE0">
        <w:rPr>
          <w:rFonts w:ascii="Cambria Math" w:hAnsi="Cambria Math"/>
          <w:szCs w:val="24"/>
        </w:rPr>
        <w:t xml:space="preserve"> via email. If your grade stays at a 70% or below, then your parents </w:t>
      </w:r>
      <w:proofErr w:type="gramStart"/>
      <w:r w:rsidRPr="00CA7DE0">
        <w:rPr>
          <w:rFonts w:ascii="Cambria Math" w:hAnsi="Cambria Math"/>
          <w:szCs w:val="24"/>
        </w:rPr>
        <w:t>will be contacted</w:t>
      </w:r>
      <w:proofErr w:type="gramEnd"/>
      <w:r w:rsidRPr="00CA7DE0">
        <w:rPr>
          <w:rFonts w:ascii="Cambria Math" w:hAnsi="Cambria Math"/>
          <w:szCs w:val="24"/>
        </w:rPr>
        <w:t xml:space="preserve"> via phone. </w:t>
      </w:r>
    </w:p>
    <w:p w:rsidR="00823B80" w:rsidRPr="00CA7DE0" w:rsidRDefault="00823B80" w:rsidP="00823B80">
      <w:pPr>
        <w:rPr>
          <w:rFonts w:ascii="Cambria Math" w:hAnsi="Cambria Math"/>
          <w:szCs w:val="24"/>
        </w:rPr>
      </w:pPr>
    </w:p>
    <w:p w:rsidR="00C90231" w:rsidRPr="00CA7DE0" w:rsidRDefault="00C90231" w:rsidP="00823B80">
      <w:pPr>
        <w:rPr>
          <w:rFonts w:ascii="Cambria Math" w:hAnsi="Cambria Math"/>
          <w:szCs w:val="24"/>
        </w:rPr>
      </w:pPr>
      <w:r w:rsidRPr="00CA7DE0">
        <w:rPr>
          <w:rFonts w:ascii="Cambria Math" w:hAnsi="Cambria Math"/>
          <w:szCs w:val="24"/>
        </w:rPr>
        <w:t>Grading Scale</w:t>
      </w:r>
    </w:p>
    <w:tbl>
      <w:tblPr>
        <w:tblW w:w="0" w:type="auto"/>
        <w:tblInd w:w="288" w:type="dxa"/>
        <w:shd w:val="clear" w:color="auto" w:fill="FFFFFF"/>
        <w:tblCellMar>
          <w:left w:w="0" w:type="dxa"/>
          <w:right w:w="0" w:type="dxa"/>
        </w:tblCellMar>
        <w:tblLook w:val="04A0" w:firstRow="1" w:lastRow="0" w:firstColumn="1" w:lastColumn="0" w:noHBand="0" w:noVBand="1"/>
      </w:tblPr>
      <w:tblGrid>
        <w:gridCol w:w="2472"/>
        <w:gridCol w:w="2760"/>
      </w:tblGrid>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97 - 100</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90231" w:rsidRPr="00CA7DE0" w:rsidRDefault="00C90231" w:rsidP="00C90231">
            <w:pPr>
              <w:spacing w:line="240" w:lineRule="auto"/>
              <w:ind w:left="612"/>
              <w:rPr>
                <w:rFonts w:ascii="Cambria Math" w:eastAsia="Times New Roman" w:hAnsi="Cambria Math" w:cs="Arial"/>
                <w:color w:val="000000"/>
                <w:szCs w:val="24"/>
              </w:rPr>
            </w:pPr>
            <w:r w:rsidRPr="00CA7DE0">
              <w:rPr>
                <w:rFonts w:ascii="Cambria Math" w:eastAsia="Times New Roman" w:hAnsi="Cambria Math" w:cs="Arial"/>
                <w:color w:val="000000"/>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90231" w:rsidRPr="00CA7DE0" w:rsidRDefault="00C90231" w:rsidP="00C90231">
            <w:pPr>
              <w:spacing w:line="240" w:lineRule="auto"/>
              <w:ind w:left="840" w:hanging="180"/>
              <w:rPr>
                <w:rFonts w:ascii="Cambria Math" w:eastAsia="Times New Roman" w:hAnsi="Cambria Math" w:cs="Arial"/>
                <w:color w:val="000000"/>
                <w:szCs w:val="24"/>
              </w:rPr>
            </w:pPr>
            <w:r w:rsidRPr="00CA7DE0">
              <w:rPr>
                <w:rFonts w:ascii="Cambria Math" w:eastAsia="Times New Roman" w:hAnsi="Cambria Math" w:cs="Arial"/>
                <w:color w:val="000000"/>
                <w:szCs w:val="24"/>
              </w:rPr>
              <w:t>93 - 96</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90 - 92</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87 - 89</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83 - 86</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80 – 82</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77 – 79</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73 – 76</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70 – 72</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D+</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67 - 69</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D</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65 – 66</w:t>
            </w:r>
          </w:p>
        </w:tc>
      </w:tr>
      <w:tr w:rsidR="00C90231" w:rsidRPr="00CA7DE0" w:rsidTr="00C90231">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612"/>
              <w:rPr>
                <w:rFonts w:ascii="Cambria Math" w:eastAsia="Times New Roman" w:hAnsi="Cambria Math" w:cs="Tahoma"/>
                <w:color w:val="000000"/>
                <w:szCs w:val="24"/>
              </w:rPr>
            </w:pPr>
            <w:r w:rsidRPr="00CA7DE0">
              <w:rPr>
                <w:rFonts w:ascii="Cambria Math" w:eastAsia="Times New Roman" w:hAnsi="Cambria Math" w:cs="Arial"/>
                <w:color w:val="000000"/>
                <w:szCs w:val="24"/>
              </w:rPr>
              <w:t>F</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0231" w:rsidRPr="00CA7DE0" w:rsidRDefault="00C90231" w:rsidP="00C90231">
            <w:pPr>
              <w:spacing w:line="240" w:lineRule="auto"/>
              <w:ind w:left="840" w:hanging="180"/>
              <w:rPr>
                <w:rFonts w:ascii="Cambria Math" w:eastAsia="Times New Roman" w:hAnsi="Cambria Math" w:cs="Tahoma"/>
                <w:color w:val="000000"/>
                <w:szCs w:val="24"/>
              </w:rPr>
            </w:pPr>
            <w:r w:rsidRPr="00CA7DE0">
              <w:rPr>
                <w:rFonts w:ascii="Cambria Math" w:eastAsia="Times New Roman" w:hAnsi="Cambria Math" w:cs="Arial"/>
                <w:color w:val="000000"/>
                <w:szCs w:val="24"/>
              </w:rPr>
              <w:t>64 and below</w:t>
            </w:r>
          </w:p>
        </w:tc>
      </w:tr>
    </w:tbl>
    <w:p w:rsidR="00C90231" w:rsidRPr="00CA7DE0" w:rsidRDefault="00C90231" w:rsidP="00823B80">
      <w:pPr>
        <w:rPr>
          <w:rFonts w:ascii="Cambria Math" w:hAnsi="Cambria Math"/>
          <w:szCs w:val="24"/>
        </w:rPr>
      </w:pPr>
    </w:p>
    <w:p w:rsidR="00823B80" w:rsidRPr="00CA7DE0" w:rsidRDefault="00823B80" w:rsidP="00823B80">
      <w:pPr>
        <w:rPr>
          <w:rFonts w:ascii="Cambria Math" w:hAnsi="Cambria Math"/>
          <w:szCs w:val="24"/>
        </w:rPr>
      </w:pPr>
      <w:r w:rsidRPr="00CA7DE0">
        <w:rPr>
          <w:rFonts w:ascii="Cambria Math" w:hAnsi="Cambria Math"/>
          <w:szCs w:val="24"/>
        </w:rPr>
        <w:t>LAPS</w:t>
      </w:r>
    </w:p>
    <w:p w:rsidR="00823B80" w:rsidRPr="00CA7DE0" w:rsidRDefault="00823B80" w:rsidP="00544B57">
      <w:pPr>
        <w:rPr>
          <w:rFonts w:ascii="Cambria Math" w:hAnsi="Cambria Math"/>
          <w:szCs w:val="24"/>
        </w:rPr>
      </w:pPr>
      <w:r w:rsidRPr="00CA7DE0">
        <w:rPr>
          <w:rFonts w:ascii="Cambria Math" w:hAnsi="Cambria Math"/>
          <w:szCs w:val="24"/>
        </w:rPr>
        <w:t xml:space="preserve">All students will receive a LAP at the beginning of each chapter. I will have these printed for you, it is not necessary for you to print your own. You only need to print a new one if you have misplaced yours. </w:t>
      </w:r>
    </w:p>
    <w:p w:rsidR="00823B80" w:rsidRPr="00CA7DE0" w:rsidRDefault="00823B80" w:rsidP="00544B57">
      <w:pPr>
        <w:rPr>
          <w:rFonts w:ascii="Cambria Math" w:hAnsi="Cambria Math"/>
          <w:szCs w:val="24"/>
        </w:rPr>
      </w:pPr>
    </w:p>
    <w:p w:rsidR="00823B80" w:rsidRPr="00CA7DE0" w:rsidRDefault="00823B80" w:rsidP="00823B80">
      <w:pPr>
        <w:rPr>
          <w:rFonts w:ascii="Cambria Math" w:hAnsi="Cambria Math"/>
          <w:szCs w:val="24"/>
        </w:rPr>
      </w:pPr>
      <w:r w:rsidRPr="00CA7DE0">
        <w:rPr>
          <w:rFonts w:ascii="Cambria Math" w:hAnsi="Cambria Math"/>
          <w:szCs w:val="24"/>
        </w:rPr>
        <w:t>Field Trips for Other Classes</w:t>
      </w:r>
    </w:p>
    <w:p w:rsidR="00823B80" w:rsidRPr="00CA7DE0" w:rsidRDefault="00823B80" w:rsidP="00544B57">
      <w:pPr>
        <w:rPr>
          <w:rFonts w:ascii="Cambria Math" w:hAnsi="Cambria Math"/>
          <w:szCs w:val="24"/>
        </w:rPr>
      </w:pPr>
      <w:r w:rsidRPr="00CA7DE0">
        <w:rPr>
          <w:rFonts w:ascii="Cambria Math" w:hAnsi="Cambria Math"/>
          <w:szCs w:val="24"/>
        </w:rPr>
        <w:t>I will not approve a student to go on a field trip for another class and missing this class unless her grade is a 70% or higher.</w:t>
      </w:r>
    </w:p>
    <w:p w:rsidR="00AA2B60" w:rsidRPr="00CA7DE0" w:rsidRDefault="00AA2B60" w:rsidP="00544B57">
      <w:pPr>
        <w:rPr>
          <w:rFonts w:ascii="Cambria Math" w:hAnsi="Cambria Math"/>
          <w:szCs w:val="24"/>
        </w:rPr>
      </w:pPr>
    </w:p>
    <w:p w:rsidR="00AA2B60" w:rsidRPr="00CA7DE0" w:rsidRDefault="00AA2B60" w:rsidP="00544B57">
      <w:pPr>
        <w:rPr>
          <w:rFonts w:ascii="Cambria Math" w:hAnsi="Cambria Math"/>
          <w:szCs w:val="24"/>
        </w:rPr>
      </w:pPr>
      <w:r w:rsidRPr="00CA7DE0">
        <w:rPr>
          <w:rFonts w:ascii="Cambria Math" w:hAnsi="Cambria Math"/>
          <w:szCs w:val="24"/>
        </w:rPr>
        <w:t>Contact Information:</w:t>
      </w:r>
    </w:p>
    <w:p w:rsidR="00AA2B60" w:rsidRPr="00CA7DE0" w:rsidRDefault="00AA2B60" w:rsidP="00544B57">
      <w:pPr>
        <w:rPr>
          <w:rFonts w:ascii="Cambria Math" w:hAnsi="Cambria Math"/>
          <w:szCs w:val="24"/>
        </w:rPr>
      </w:pPr>
      <w:r w:rsidRPr="00CA7DE0">
        <w:rPr>
          <w:rFonts w:ascii="Cambria Math" w:hAnsi="Cambria Math"/>
          <w:szCs w:val="24"/>
        </w:rPr>
        <w:t xml:space="preserve">If you need </w:t>
      </w:r>
      <w:proofErr w:type="gramStart"/>
      <w:r w:rsidRPr="00CA7DE0">
        <w:rPr>
          <w:rFonts w:ascii="Cambria Math" w:hAnsi="Cambria Math"/>
          <w:szCs w:val="24"/>
        </w:rPr>
        <w:t>me</w:t>
      </w:r>
      <w:proofErr w:type="gramEnd"/>
      <w:r w:rsidRPr="00CA7DE0">
        <w:rPr>
          <w:rFonts w:ascii="Cambria Math" w:hAnsi="Cambria Math"/>
          <w:szCs w:val="24"/>
        </w:rPr>
        <w:t xml:space="preserve"> you can email me at </w:t>
      </w:r>
      <w:hyperlink r:id="rId11" w:history="1">
        <w:r w:rsidRPr="00CA7DE0">
          <w:rPr>
            <w:rStyle w:val="Hyperlink"/>
            <w:rFonts w:ascii="Cambria Math" w:hAnsi="Cambria Math"/>
            <w:szCs w:val="24"/>
          </w:rPr>
          <w:t>kalbertson@iwacademy.org</w:t>
        </w:r>
      </w:hyperlink>
      <w:r w:rsidRPr="00CA7DE0">
        <w:rPr>
          <w:rFonts w:ascii="Cambria Math" w:hAnsi="Cambria Math"/>
          <w:szCs w:val="24"/>
        </w:rPr>
        <w:t xml:space="preserve">, come to an open lab time, or call me at </w:t>
      </w:r>
      <w:hyperlink r:id="rId12" w:tooltip="Call via Hangouts" w:history="1">
        <w:r w:rsidRPr="00CA7DE0">
          <w:rPr>
            <w:rStyle w:val="Hyperlink"/>
            <w:rFonts w:ascii="Cambria Math" w:hAnsi="Cambria Math" w:cs="Arial"/>
            <w:color w:val="1A0DAB"/>
            <w:szCs w:val="24"/>
            <w:shd w:val="clear" w:color="auto" w:fill="FFFFFF"/>
          </w:rPr>
          <w:t>(314) 725-5850</w:t>
        </w:r>
      </w:hyperlink>
      <w:r w:rsidRPr="00CA7DE0">
        <w:rPr>
          <w:rFonts w:ascii="Cambria Math" w:hAnsi="Cambria Math"/>
          <w:szCs w:val="24"/>
        </w:rPr>
        <w:t xml:space="preserve"> </w:t>
      </w:r>
      <w:proofErr w:type="spellStart"/>
      <w:r w:rsidRPr="00CA7DE0">
        <w:rPr>
          <w:rFonts w:ascii="Cambria Math" w:hAnsi="Cambria Math"/>
          <w:szCs w:val="24"/>
        </w:rPr>
        <w:t>ext</w:t>
      </w:r>
      <w:proofErr w:type="spellEnd"/>
      <w:r w:rsidRPr="00CA7DE0">
        <w:rPr>
          <w:rFonts w:ascii="Cambria Math" w:hAnsi="Cambria Math"/>
          <w:szCs w:val="24"/>
        </w:rPr>
        <w:t xml:space="preserve"> #1146. </w:t>
      </w:r>
    </w:p>
    <w:p w:rsidR="00823B80" w:rsidRPr="00CA7DE0" w:rsidRDefault="00823B80" w:rsidP="00544B57">
      <w:pPr>
        <w:rPr>
          <w:rFonts w:ascii="Cambria Math" w:hAnsi="Cambria Math"/>
          <w:szCs w:val="24"/>
        </w:rPr>
      </w:pPr>
    </w:p>
    <w:p w:rsidR="00DA58D8" w:rsidRPr="00CA7DE0" w:rsidRDefault="00DA58D8" w:rsidP="00544B57">
      <w:pPr>
        <w:rPr>
          <w:rFonts w:ascii="Cambria Math" w:hAnsi="Cambria Math"/>
          <w:szCs w:val="24"/>
        </w:rPr>
      </w:pPr>
      <w:r w:rsidRPr="00CA7DE0">
        <w:rPr>
          <w:rFonts w:ascii="Cambria Math" w:hAnsi="Cambria Math"/>
          <w:szCs w:val="24"/>
        </w:rPr>
        <w:t>Tentative Schedule:</w:t>
      </w:r>
    </w:p>
    <w:tbl>
      <w:tblPr>
        <w:tblStyle w:val="TableGrid"/>
        <w:tblW w:w="0" w:type="auto"/>
        <w:tblLook w:val="04A0" w:firstRow="1" w:lastRow="0" w:firstColumn="1" w:lastColumn="0" w:noHBand="0" w:noVBand="1"/>
      </w:tblPr>
      <w:tblGrid>
        <w:gridCol w:w="2785"/>
        <w:gridCol w:w="6565"/>
      </w:tblGrid>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Chapter/Section</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Topic</w:t>
            </w:r>
          </w:p>
        </w:tc>
      </w:tr>
      <w:tr w:rsidR="005B36D6" w:rsidRPr="00CA7DE0" w:rsidTr="00DE59CB">
        <w:tc>
          <w:tcPr>
            <w:tcW w:w="2785" w:type="dxa"/>
          </w:tcPr>
          <w:p w:rsidR="005B36D6" w:rsidRPr="00CA7DE0" w:rsidRDefault="005B36D6" w:rsidP="00DE59CB">
            <w:pPr>
              <w:rPr>
                <w:rFonts w:ascii="Cambria Math" w:hAnsi="Cambria Math"/>
                <w:b/>
                <w:szCs w:val="24"/>
              </w:rPr>
            </w:pPr>
            <w:r w:rsidRPr="00CA7DE0">
              <w:rPr>
                <w:rFonts w:ascii="Cambria Math" w:hAnsi="Cambria Math"/>
                <w:b/>
                <w:szCs w:val="24"/>
              </w:rPr>
              <w:t>Summer Packet</w:t>
            </w:r>
          </w:p>
        </w:tc>
        <w:tc>
          <w:tcPr>
            <w:tcW w:w="6565" w:type="dxa"/>
          </w:tcPr>
          <w:p w:rsidR="005B36D6" w:rsidRPr="00CA7DE0" w:rsidRDefault="005B36D6" w:rsidP="00DE59CB">
            <w:pPr>
              <w:rPr>
                <w:rFonts w:ascii="Cambria Math" w:hAnsi="Cambria Math"/>
                <w:b/>
                <w:szCs w:val="24"/>
              </w:rPr>
            </w:pPr>
            <w:r w:rsidRPr="00CA7DE0">
              <w:rPr>
                <w:rFonts w:ascii="Cambria Math" w:hAnsi="Cambria Math"/>
                <w:b/>
                <w:szCs w:val="24"/>
              </w:rPr>
              <w:t>Summer Math Packet Test</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11.1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Sequences and Summation Notation</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11.2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Arithmetic Sequences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11.3</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Geometric Sequences and Series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1</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11.5</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The Binomial Theorem</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11.7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Probability</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2</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1</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5.1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Angles and Radian Measure</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5.2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 xml:space="preserve">Right Triangle Trigonometry </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3</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5.3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Trigonometric Functions of Any Angle</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lastRenderedPageBreak/>
              <w:t>Section 5.4</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Trigonometric Function of Real Numbers; Periodic Functions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5.5</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Graphs of Sine and Cosine Functions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4</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2</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Graphs and Graphing Utilities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Linear Equations and Rational Equations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1.3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Models and Applications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5</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1.4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Complex Numbers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1.5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Quadratic Equations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1.6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Other Types of Equations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1.7</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Linear Inequalities and Absolute Value Inequalities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6</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3</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2.1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Basics of Functions and Their Graphs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2.2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More on Functions and Their Graphs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7</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2.3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Linear Functions and Slope</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2.4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More on Slope</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8</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2.5</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Transformation of Functions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2.6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Combinations of Functions: Composite Functions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2.8</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Distance and Midpoint Formulas: Circles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9</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4</w:t>
            </w:r>
          </w:p>
        </w:tc>
      </w:tr>
      <w:tr w:rsidR="005B36D6" w:rsidRPr="00CA7DE0" w:rsidTr="00DE59CB">
        <w:tc>
          <w:tcPr>
            <w:tcW w:w="9350" w:type="dxa"/>
            <w:gridSpan w:val="2"/>
            <w:shd w:val="clear" w:color="auto" w:fill="BFBFBF" w:themeFill="background1" w:themeFillShade="BF"/>
          </w:tcPr>
          <w:p w:rsidR="005B36D6" w:rsidRPr="00CA7DE0" w:rsidRDefault="005B36D6" w:rsidP="00DE59CB">
            <w:pPr>
              <w:jc w:val="center"/>
              <w:rPr>
                <w:rFonts w:ascii="Cambria Math" w:hAnsi="Cambria Math"/>
                <w:b/>
                <w:szCs w:val="24"/>
              </w:rPr>
            </w:pPr>
            <w:r w:rsidRPr="00CA7DE0">
              <w:rPr>
                <w:rFonts w:ascii="Cambria Math" w:hAnsi="Cambria Math"/>
                <w:b/>
                <w:szCs w:val="24"/>
              </w:rPr>
              <w:t>Semester 1 Final</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3.1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Quadratic Functions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3.2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Polynomial Functions and Their Graphs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1</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3.3</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Dividing Polynomials; Remainder and Factor Theorems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3.4</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Zeros of Polynomial Functions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2</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3.5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Rational Functions and Their graphs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3.6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Polynomial and Rational Inequalities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3</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1</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4.1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Exponential Functions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4.2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Logarithmic Functions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4</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4.3</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Properties of Logarithms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4.4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Exponential and Logarithmic Equations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5</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b/>
                <w:szCs w:val="24"/>
              </w:rPr>
            </w:pPr>
            <w:r w:rsidRPr="00CA7DE0">
              <w:rPr>
                <w:rFonts w:ascii="Cambria Math" w:hAnsi="Cambria Math"/>
                <w:b/>
                <w:szCs w:val="24"/>
              </w:rPr>
              <w:t>Review/Test 2</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8.1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Systems of Linear Equations in Two Variables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6</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8.2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Systems of Linear Equations in Three Variables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8.4</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Systems of Nonlinear Equations in Two Variables</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7</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9.1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Matrix Solutions to Linear Systems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 xml:space="preserve">Section 9.2 </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Inconsistent and Dependent Systems and Their Applications</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9.5</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Determinants and Cramer’s Rule</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8</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3</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10.1</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The Ellipse</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10.2</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The Hyperbola</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9</w:t>
            </w:r>
          </w:p>
        </w:tc>
      </w:tr>
      <w:tr w:rsidR="005B36D6" w:rsidRPr="00CA7DE0" w:rsidTr="00DE59CB">
        <w:tc>
          <w:tcPr>
            <w:tcW w:w="2785" w:type="dxa"/>
          </w:tcPr>
          <w:p w:rsidR="005B36D6" w:rsidRPr="00CA7DE0" w:rsidRDefault="005B36D6" w:rsidP="00DE59CB">
            <w:pPr>
              <w:rPr>
                <w:rFonts w:ascii="Cambria Math" w:hAnsi="Cambria Math"/>
                <w:szCs w:val="24"/>
              </w:rPr>
            </w:pPr>
            <w:r w:rsidRPr="00CA7DE0">
              <w:rPr>
                <w:rFonts w:ascii="Cambria Math" w:hAnsi="Cambria Math"/>
                <w:szCs w:val="24"/>
              </w:rPr>
              <w:t>Section 10.3</w:t>
            </w: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The Parabola</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szCs w:val="24"/>
              </w:rPr>
              <w:t>Quiz 10</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szCs w:val="24"/>
              </w:rPr>
            </w:pPr>
            <w:r w:rsidRPr="00CA7DE0">
              <w:rPr>
                <w:rFonts w:ascii="Cambria Math" w:hAnsi="Cambria Math"/>
                <w:b/>
                <w:szCs w:val="24"/>
              </w:rPr>
              <w:t>Review/Test 4</w:t>
            </w:r>
          </w:p>
        </w:tc>
      </w:tr>
      <w:tr w:rsidR="005B36D6" w:rsidRPr="00CA7DE0" w:rsidTr="00DE59CB">
        <w:tc>
          <w:tcPr>
            <w:tcW w:w="2785" w:type="dxa"/>
          </w:tcPr>
          <w:p w:rsidR="005B36D6" w:rsidRPr="00CA7DE0" w:rsidRDefault="005B36D6" w:rsidP="00DE59CB">
            <w:pPr>
              <w:rPr>
                <w:rFonts w:ascii="Cambria Math" w:hAnsi="Cambria Math"/>
                <w:szCs w:val="24"/>
              </w:rPr>
            </w:pPr>
          </w:p>
        </w:tc>
        <w:tc>
          <w:tcPr>
            <w:tcW w:w="6565" w:type="dxa"/>
          </w:tcPr>
          <w:p w:rsidR="005B36D6" w:rsidRPr="00CA7DE0" w:rsidRDefault="005B36D6" w:rsidP="00DE59CB">
            <w:pPr>
              <w:rPr>
                <w:rFonts w:ascii="Cambria Math" w:hAnsi="Cambria Math"/>
                <w:b/>
                <w:szCs w:val="24"/>
              </w:rPr>
            </w:pPr>
          </w:p>
        </w:tc>
      </w:tr>
      <w:tr w:rsidR="005B36D6" w:rsidRPr="00CA7DE0" w:rsidTr="00DE59CB">
        <w:tc>
          <w:tcPr>
            <w:tcW w:w="9350" w:type="dxa"/>
            <w:gridSpan w:val="2"/>
            <w:shd w:val="clear" w:color="auto" w:fill="BFBFBF" w:themeFill="background1" w:themeFillShade="BF"/>
          </w:tcPr>
          <w:p w:rsidR="005B36D6" w:rsidRPr="00CA7DE0" w:rsidRDefault="005B36D6" w:rsidP="00DE59CB">
            <w:pPr>
              <w:jc w:val="center"/>
              <w:rPr>
                <w:rFonts w:ascii="Cambria Math" w:hAnsi="Cambria Math"/>
                <w:szCs w:val="24"/>
              </w:rPr>
            </w:pPr>
            <w:r w:rsidRPr="00CA7DE0">
              <w:rPr>
                <w:rFonts w:ascii="Cambria Math" w:hAnsi="Cambria Math"/>
                <w:b/>
                <w:szCs w:val="24"/>
              </w:rPr>
              <w:t>Semester 2 Final</w:t>
            </w:r>
          </w:p>
        </w:tc>
      </w:tr>
    </w:tbl>
    <w:p w:rsidR="007B7DC2" w:rsidRPr="00CA7DE0" w:rsidRDefault="007B7DC2" w:rsidP="00544B57">
      <w:pPr>
        <w:rPr>
          <w:rFonts w:ascii="Cambria Math" w:hAnsi="Cambria Math"/>
          <w:szCs w:val="24"/>
        </w:rPr>
      </w:pPr>
    </w:p>
    <w:p w:rsidR="00F84455" w:rsidRPr="00CA7DE0" w:rsidRDefault="00F84455" w:rsidP="00544B57">
      <w:pPr>
        <w:rPr>
          <w:rFonts w:ascii="Cambria Math" w:hAnsi="Cambria Math"/>
          <w:szCs w:val="24"/>
        </w:rPr>
      </w:pPr>
    </w:p>
    <w:sectPr w:rsidR="00F84455" w:rsidRPr="00CA7DE0" w:rsidSect="003470BF">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F1" w:rsidRDefault="00DD02F1" w:rsidP="003470BF">
      <w:pPr>
        <w:spacing w:line="240" w:lineRule="auto"/>
      </w:pPr>
      <w:r>
        <w:separator/>
      </w:r>
    </w:p>
  </w:endnote>
  <w:endnote w:type="continuationSeparator" w:id="0">
    <w:p w:rsidR="00DD02F1" w:rsidRDefault="00DD02F1" w:rsidP="00347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F1" w:rsidRDefault="00DD02F1" w:rsidP="003470BF">
      <w:pPr>
        <w:spacing w:line="240" w:lineRule="auto"/>
      </w:pPr>
      <w:r>
        <w:separator/>
      </w:r>
    </w:p>
  </w:footnote>
  <w:footnote w:type="continuationSeparator" w:id="0">
    <w:p w:rsidR="00DD02F1" w:rsidRDefault="00DD02F1" w:rsidP="00347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BF" w:rsidRPr="00F75325" w:rsidRDefault="003470BF">
    <w:pPr>
      <w:pStyle w:val="Header"/>
      <w:rPr>
        <w:rFonts w:ascii="Cambria Math" w:hAnsi="Cambria Math"/>
        <w:sz w:val="26"/>
        <w:szCs w:val="26"/>
      </w:rPr>
    </w:pPr>
    <w:r w:rsidRPr="00F75325">
      <w:rPr>
        <w:rFonts w:ascii="Cambria Math" w:hAnsi="Cambria Math"/>
        <w:sz w:val="26"/>
        <w:szCs w:val="26"/>
      </w:rPr>
      <w:t>College Algebra ACP</w:t>
    </w:r>
    <w:r w:rsidR="00AA2B60" w:rsidRPr="00F75325">
      <w:rPr>
        <w:rFonts w:ascii="Cambria Math" w:hAnsi="Cambria Math"/>
        <w:sz w:val="26"/>
        <w:szCs w:val="26"/>
      </w:rPr>
      <w:t xml:space="preserve"> through UMSL</w:t>
    </w:r>
    <w:r w:rsidR="00111F36" w:rsidRPr="00F75325">
      <w:rPr>
        <w:rFonts w:ascii="Cambria Math" w:hAnsi="Cambria Math"/>
        <w:sz w:val="26"/>
        <w:szCs w:val="26"/>
      </w:rPr>
      <w:tab/>
    </w:r>
    <w:r w:rsidR="00111F36" w:rsidRPr="00F75325">
      <w:rPr>
        <w:rFonts w:ascii="Cambria Math" w:hAnsi="Cambria Math"/>
        <w:sz w:val="26"/>
        <w:szCs w:val="26"/>
      </w:rPr>
      <w:tab/>
      <w:t>Name_____________________</w:t>
    </w:r>
  </w:p>
  <w:p w:rsidR="00665F25" w:rsidRPr="00F75325" w:rsidRDefault="00665F25">
    <w:pPr>
      <w:pStyle w:val="Header"/>
      <w:rPr>
        <w:rFonts w:ascii="Cambria Math" w:hAnsi="Cambria Math"/>
        <w:sz w:val="26"/>
        <w:szCs w:val="26"/>
      </w:rPr>
    </w:pPr>
    <w:r w:rsidRPr="00F75325">
      <w:rPr>
        <w:rFonts w:ascii="Cambria Math" w:hAnsi="Cambria Math"/>
        <w:sz w:val="26"/>
        <w:szCs w:val="26"/>
      </w:rPr>
      <w:t>Math 1030</w:t>
    </w:r>
  </w:p>
  <w:p w:rsidR="003470BF" w:rsidRPr="00F75325" w:rsidRDefault="003470BF">
    <w:pPr>
      <w:pStyle w:val="Header"/>
      <w:rPr>
        <w:rFonts w:ascii="Cambria Math" w:hAnsi="Cambria Math"/>
        <w:sz w:val="26"/>
        <w:szCs w:val="26"/>
      </w:rPr>
    </w:pPr>
    <w:r w:rsidRPr="00F75325">
      <w:rPr>
        <w:rFonts w:ascii="Cambria Math" w:hAnsi="Cambria Math"/>
        <w:sz w:val="26"/>
        <w:szCs w:val="26"/>
      </w:rPr>
      <w:t>Albertson 2016-2017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5BF0"/>
    <w:multiLevelType w:val="hybridMultilevel"/>
    <w:tmpl w:val="BAA00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23407"/>
    <w:multiLevelType w:val="hybridMultilevel"/>
    <w:tmpl w:val="76ECC0EC"/>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4" w15:restartNumberingAfterBreak="0">
    <w:nsid w:val="51415E68"/>
    <w:multiLevelType w:val="hybridMultilevel"/>
    <w:tmpl w:val="F32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7"/>
    <w:rsid w:val="00005EA2"/>
    <w:rsid w:val="000F2E70"/>
    <w:rsid w:val="00111F36"/>
    <w:rsid w:val="001363A8"/>
    <w:rsid w:val="00184DF9"/>
    <w:rsid w:val="002331A8"/>
    <w:rsid w:val="00252FC8"/>
    <w:rsid w:val="003470BF"/>
    <w:rsid w:val="00377DC9"/>
    <w:rsid w:val="004207D2"/>
    <w:rsid w:val="00477E63"/>
    <w:rsid w:val="00482149"/>
    <w:rsid w:val="00544B57"/>
    <w:rsid w:val="0055366E"/>
    <w:rsid w:val="005B36D6"/>
    <w:rsid w:val="0060193A"/>
    <w:rsid w:val="006201B6"/>
    <w:rsid w:val="00654493"/>
    <w:rsid w:val="00665F25"/>
    <w:rsid w:val="00675ECC"/>
    <w:rsid w:val="007247F9"/>
    <w:rsid w:val="00750D96"/>
    <w:rsid w:val="007A41DB"/>
    <w:rsid w:val="007B7DC2"/>
    <w:rsid w:val="00823B80"/>
    <w:rsid w:val="00832B5F"/>
    <w:rsid w:val="00867175"/>
    <w:rsid w:val="009603DA"/>
    <w:rsid w:val="0099635C"/>
    <w:rsid w:val="00A3401A"/>
    <w:rsid w:val="00A4391A"/>
    <w:rsid w:val="00AA2B60"/>
    <w:rsid w:val="00B27F58"/>
    <w:rsid w:val="00B46D0F"/>
    <w:rsid w:val="00BB48A6"/>
    <w:rsid w:val="00BB4B0C"/>
    <w:rsid w:val="00BD4E9E"/>
    <w:rsid w:val="00C7167D"/>
    <w:rsid w:val="00C90231"/>
    <w:rsid w:val="00CA7DE0"/>
    <w:rsid w:val="00DA58D8"/>
    <w:rsid w:val="00DD02F1"/>
    <w:rsid w:val="00E21B3F"/>
    <w:rsid w:val="00E72535"/>
    <w:rsid w:val="00F05611"/>
    <w:rsid w:val="00F14C99"/>
    <w:rsid w:val="00F54057"/>
    <w:rsid w:val="00F75325"/>
    <w:rsid w:val="00F84455"/>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49C"/>
  <w15:chartTrackingRefBased/>
  <w15:docId w15:val="{8836A1AE-CEFB-414F-80C4-9FE5B8B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acher"/>
    <w:qFormat/>
    <w:rsid w:val="0055366E"/>
    <w:pPr>
      <w:spacing w:after="0"/>
    </w:pPr>
    <w:rPr>
      <w:rFonts w:ascii="Rockwell" w:hAnsi="Rockwel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D8"/>
    <w:rPr>
      <w:color w:val="808080"/>
    </w:rPr>
  </w:style>
  <w:style w:type="table" w:styleId="TableGrid">
    <w:name w:val="Table Grid"/>
    <w:basedOn w:val="TableNormal"/>
    <w:uiPriority w:val="39"/>
    <w:rsid w:val="00DA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0BF"/>
    <w:pPr>
      <w:tabs>
        <w:tab w:val="center" w:pos="4680"/>
        <w:tab w:val="right" w:pos="9360"/>
      </w:tabs>
      <w:spacing w:line="240" w:lineRule="auto"/>
    </w:pPr>
  </w:style>
  <w:style w:type="character" w:customStyle="1" w:styleId="HeaderChar">
    <w:name w:val="Header Char"/>
    <w:basedOn w:val="DefaultParagraphFont"/>
    <w:link w:val="Header"/>
    <w:uiPriority w:val="99"/>
    <w:rsid w:val="003470BF"/>
    <w:rPr>
      <w:rFonts w:ascii="Rockwell" w:hAnsi="Rockwell"/>
      <w:sz w:val="24"/>
    </w:rPr>
  </w:style>
  <w:style w:type="paragraph" w:styleId="Footer">
    <w:name w:val="footer"/>
    <w:basedOn w:val="Normal"/>
    <w:link w:val="FooterChar"/>
    <w:uiPriority w:val="99"/>
    <w:unhideWhenUsed/>
    <w:rsid w:val="003470BF"/>
    <w:pPr>
      <w:tabs>
        <w:tab w:val="center" w:pos="4680"/>
        <w:tab w:val="right" w:pos="9360"/>
      </w:tabs>
      <w:spacing w:line="240" w:lineRule="auto"/>
    </w:pPr>
  </w:style>
  <w:style w:type="character" w:customStyle="1" w:styleId="FooterChar">
    <w:name w:val="Footer Char"/>
    <w:basedOn w:val="DefaultParagraphFont"/>
    <w:link w:val="Footer"/>
    <w:uiPriority w:val="99"/>
    <w:rsid w:val="003470BF"/>
    <w:rPr>
      <w:rFonts w:ascii="Rockwell" w:hAnsi="Rockwell"/>
      <w:sz w:val="24"/>
    </w:rPr>
  </w:style>
  <w:style w:type="character" w:styleId="Hyperlink">
    <w:name w:val="Hyperlink"/>
    <w:basedOn w:val="DefaultParagraphFont"/>
    <w:rsid w:val="00823B80"/>
    <w:rPr>
      <w:color w:val="0000FF"/>
      <w:u w:val="single"/>
    </w:rPr>
  </w:style>
  <w:style w:type="paragraph" w:styleId="BalloonText">
    <w:name w:val="Balloon Text"/>
    <w:basedOn w:val="Normal"/>
    <w:link w:val="BalloonTextChar"/>
    <w:uiPriority w:val="99"/>
    <w:semiHidden/>
    <w:unhideWhenUsed/>
    <w:rsid w:val="00823B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B80"/>
    <w:rPr>
      <w:rFonts w:ascii="Segoe UI" w:hAnsi="Segoe UI" w:cs="Segoe UI"/>
      <w:sz w:val="18"/>
      <w:szCs w:val="18"/>
    </w:rPr>
  </w:style>
  <w:style w:type="paragraph" w:styleId="NormalWeb">
    <w:name w:val="Normal (Web)"/>
    <w:basedOn w:val="Normal"/>
    <w:uiPriority w:val="99"/>
    <w:rsid w:val="00F84455"/>
    <w:pPr>
      <w:spacing w:before="100" w:beforeAutospacing="1" w:after="100" w:afterAutospacing="1" w:line="240" w:lineRule="auto"/>
    </w:pPr>
    <w:rPr>
      <w:rFonts w:ascii="Times New Roman" w:eastAsia="Times New Roman" w:hAnsi="Times New Roman" w:cs="Times New Roman"/>
      <w:color w:val="000000"/>
      <w:szCs w:val="24"/>
    </w:rPr>
  </w:style>
  <w:style w:type="paragraph" w:styleId="ListParagraph">
    <w:name w:val="List Paragraph"/>
    <w:basedOn w:val="Normal"/>
    <w:uiPriority w:val="34"/>
    <w:qFormat/>
    <w:rsid w:val="00F84455"/>
    <w:pPr>
      <w:spacing w:line="240" w:lineRule="auto"/>
      <w:ind w:left="720"/>
    </w:pPr>
    <w:rPr>
      <w:rFonts w:ascii="Calibri" w:eastAsia="Calibri" w:hAnsi="Calibri" w:cs="Times New Roman"/>
      <w:sz w:val="22"/>
    </w:rPr>
  </w:style>
  <w:style w:type="character" w:customStyle="1" w:styleId="apple-converted-space">
    <w:name w:val="apple-converted-space"/>
    <w:basedOn w:val="DefaultParagraphFont"/>
    <w:rsid w:val="00C90231"/>
  </w:style>
  <w:style w:type="paragraph" w:styleId="BodyText">
    <w:name w:val="Body Text"/>
    <w:basedOn w:val="Normal"/>
    <w:link w:val="BodyTextChar"/>
    <w:uiPriority w:val="99"/>
    <w:semiHidden/>
    <w:unhideWhenUsed/>
    <w:rsid w:val="00C90231"/>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C90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98563">
      <w:bodyDiv w:val="1"/>
      <w:marLeft w:val="0"/>
      <w:marRight w:val="0"/>
      <w:marTop w:val="0"/>
      <w:marBottom w:val="0"/>
      <w:divBdr>
        <w:top w:val="none" w:sz="0" w:space="0" w:color="auto"/>
        <w:left w:val="none" w:sz="0" w:space="0" w:color="auto"/>
        <w:bottom w:val="none" w:sz="0" w:space="0" w:color="auto"/>
        <w:right w:val="none" w:sz="0" w:space="0" w:color="auto"/>
      </w:divBdr>
    </w:div>
    <w:div w:id="13815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4)%20516-700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sl.edu/acp"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bertson@iwacadem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msl.edu/acp" TargetMode="External"/><Relationship Id="rId4" Type="http://schemas.openxmlformats.org/officeDocument/2006/relationships/webSettings" Target="webSettings.xml"/><Relationship Id="rId9" Type="http://schemas.openxmlformats.org/officeDocument/2006/relationships/hyperlink" Target="http://www.umsl.edu/a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Katee</dc:creator>
  <cp:keywords/>
  <dc:description/>
  <cp:lastModifiedBy>Albertson, Katee</cp:lastModifiedBy>
  <cp:revision>11</cp:revision>
  <cp:lastPrinted>2017-08-02T16:09:00Z</cp:lastPrinted>
  <dcterms:created xsi:type="dcterms:W3CDTF">2016-08-31T02:57:00Z</dcterms:created>
  <dcterms:modified xsi:type="dcterms:W3CDTF">2017-08-02T16:09:00Z</dcterms:modified>
</cp:coreProperties>
</file>